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88ED" w14:textId="77777777" w:rsidR="00671DAF" w:rsidRDefault="004D5463">
      <w:pPr>
        <w:widowControl w:val="0"/>
        <w:jc w:val="center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noProof/>
        </w:rPr>
        <w:drawing>
          <wp:inline distT="0" distB="0" distL="0" distR="0" wp14:anchorId="1C0B7783" wp14:editId="7EF49468">
            <wp:extent cx="2447801" cy="1295400"/>
            <wp:effectExtent l="0" t="0" r="0" b="0"/>
            <wp:docPr id="2" name="image1.png" descr="Logo_VIDCA-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_VIDCA-COLO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801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A7A797" w14:textId="77777777" w:rsidR="00671DAF" w:rsidRDefault="00671DAF">
      <w:pPr>
        <w:widowControl w:val="0"/>
        <w:rPr>
          <w:rFonts w:ascii="Garamond" w:eastAsia="Garamond" w:hAnsi="Garamond" w:cs="Garamond"/>
          <w:b/>
          <w:color w:val="000000"/>
        </w:rPr>
      </w:pPr>
    </w:p>
    <w:p w14:paraId="4CD52E3C" w14:textId="77777777" w:rsidR="00671DAF" w:rsidRDefault="00671DAF">
      <w:pPr>
        <w:widowControl w:val="0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295BA098" w14:textId="77777777" w:rsidR="00671DAF" w:rsidRDefault="004D5463">
      <w:pPr>
        <w:widowControl w:val="0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BASES CONCURSO PROYECTOS DE INVESTIGACIÓN APLICADA </w:t>
      </w:r>
    </w:p>
    <w:p w14:paraId="3B2CB72B" w14:textId="77777777" w:rsidR="00671DAF" w:rsidRDefault="004D5463">
      <w:pPr>
        <w:widowControl w:val="0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 INNOVACIÓN TRANSVERSAL</w:t>
      </w:r>
    </w:p>
    <w:p w14:paraId="3D7BBF31" w14:textId="77777777" w:rsidR="00671DAF" w:rsidRDefault="00671DAF">
      <w:pPr>
        <w:widowControl w:val="0"/>
        <w:rPr>
          <w:rFonts w:ascii="Garamond" w:eastAsia="Garamond" w:hAnsi="Garamond" w:cs="Garamond"/>
          <w:color w:val="000000"/>
        </w:rPr>
      </w:pPr>
    </w:p>
    <w:p w14:paraId="4F629B15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14E45E22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I. ANTECEDENTES DE LA CONVOCATORIA</w:t>
      </w:r>
    </w:p>
    <w:p w14:paraId="17FBE83D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3609343E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1.1. Antecedentes</w:t>
      </w:r>
    </w:p>
    <w:p w14:paraId="1A25FE53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3E9A7AC9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La Vicerrectoría de Investigación, Desarrollo y Creación Artística (VIDCA) gestiona las labores de investigación, creación, preservación, desarrollo, innovación y transferencia tecnológica, fomentando la generación de aportes relevantes para el desarrollo </w:t>
      </w:r>
      <w:r>
        <w:rPr>
          <w:rFonts w:ascii="Garamond" w:eastAsia="Garamond" w:hAnsi="Garamond" w:cs="Garamond"/>
        </w:rPr>
        <w:t xml:space="preserve">integral del país, en el marco de los valores y las definiciones estratégicas de la Universidad Austral de Chile. </w:t>
      </w:r>
    </w:p>
    <w:p w14:paraId="4765598B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16291240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Su objetivo es planificar, organizar y gestionar las actividades universitarias en el ámbito de la investigación, creación, desarrollo, inno</w:t>
      </w:r>
      <w:r>
        <w:rPr>
          <w:rFonts w:ascii="Garamond" w:eastAsia="Garamond" w:hAnsi="Garamond" w:cs="Garamond"/>
        </w:rPr>
        <w:t>vación y transferencia tecnológica proponiendo y ejecutando políticas y mecanismos que aseguren la transversalidad y articulación de las acciones, la eficiencia en la gestión, su comunicación y transferencia y su inserción en el contexto nacional e interna</w:t>
      </w:r>
      <w:r>
        <w:rPr>
          <w:rFonts w:ascii="Garamond" w:eastAsia="Garamond" w:hAnsi="Garamond" w:cs="Garamond"/>
        </w:rPr>
        <w:t>cional.</w:t>
      </w:r>
    </w:p>
    <w:p w14:paraId="40ADD22E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6764F9A3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Este concurso está liderado por el </w:t>
      </w:r>
      <w:r>
        <w:rPr>
          <w:rFonts w:ascii="Garamond" w:eastAsia="Garamond" w:hAnsi="Garamond" w:cs="Garamond"/>
          <w:b/>
        </w:rPr>
        <w:t>Departamento de Desarrollo e Innovación</w:t>
      </w:r>
      <w:r>
        <w:rPr>
          <w:rFonts w:ascii="Garamond" w:eastAsia="Garamond" w:hAnsi="Garamond" w:cs="Garamond"/>
        </w:rPr>
        <w:t xml:space="preserve"> que es responsable de relacionar a la Universidad con el medio externo, teniendo como base los resultados generados por la actividad de I+D+i y su aplicación en el ámbito t</w:t>
      </w:r>
      <w:r>
        <w:rPr>
          <w:rFonts w:ascii="Garamond" w:eastAsia="Garamond" w:hAnsi="Garamond" w:cs="Garamond"/>
        </w:rPr>
        <w:t>ecnológico y la innovación, para contribuir así al desarrollo de los sectores social y productivo y al avance de la sociedad.</w:t>
      </w:r>
    </w:p>
    <w:p w14:paraId="27C9D4A2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04EF0C58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El financiamiento de esta convocatoria se enmarca en el proyecto institucional cofinanciado por ANID: </w:t>
      </w:r>
      <w:r>
        <w:rPr>
          <w:rFonts w:ascii="Garamond" w:eastAsia="Garamond" w:hAnsi="Garamond" w:cs="Garamond"/>
          <w:b/>
        </w:rPr>
        <w:t>“Fortalecimiento, integraci</w:t>
      </w:r>
      <w:r>
        <w:rPr>
          <w:rFonts w:ascii="Garamond" w:eastAsia="Garamond" w:hAnsi="Garamond" w:cs="Garamond"/>
          <w:b/>
        </w:rPr>
        <w:t>ón y proyección de capacidades institucionales para la Innovación basada en I+D en la Universidad Austral de Chile”</w:t>
      </w:r>
      <w:r>
        <w:rPr>
          <w:rFonts w:ascii="Garamond" w:eastAsia="Garamond" w:hAnsi="Garamond" w:cs="Garamond"/>
        </w:rPr>
        <w:t>, código 52-INES, como parte del Programa de Innovación basada en I+D y del Plan de equidad de género en innovación, para apoyar a las(os) ac</w:t>
      </w:r>
      <w:r>
        <w:rPr>
          <w:rFonts w:ascii="Garamond" w:eastAsia="Garamond" w:hAnsi="Garamond" w:cs="Garamond"/>
        </w:rPr>
        <w:t>adémicas(os) que no cuenten con financiamiento externo para llevar adelante el desarrollo sus ideas de soluciones innovadoras a problemáticas del entorno productivo y social.</w:t>
      </w:r>
    </w:p>
    <w:p w14:paraId="61B93600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19599A62" w14:textId="77777777" w:rsidR="00671DAF" w:rsidRDefault="00671DAF">
      <w:pPr>
        <w:widowControl w:val="0"/>
        <w:rPr>
          <w:rFonts w:ascii="Garamond" w:eastAsia="Garamond" w:hAnsi="Garamond" w:cs="Garamond"/>
          <w:b/>
        </w:rPr>
      </w:pPr>
    </w:p>
    <w:p w14:paraId="1D846929" w14:textId="77777777" w:rsidR="00671DAF" w:rsidRDefault="00671DAF">
      <w:pPr>
        <w:widowControl w:val="0"/>
        <w:rPr>
          <w:rFonts w:ascii="Garamond" w:eastAsia="Garamond" w:hAnsi="Garamond" w:cs="Garamond"/>
          <w:b/>
        </w:rPr>
      </w:pPr>
    </w:p>
    <w:p w14:paraId="7BC30F46" w14:textId="77777777" w:rsidR="00671DAF" w:rsidRDefault="00671DAF">
      <w:pPr>
        <w:widowControl w:val="0"/>
        <w:rPr>
          <w:rFonts w:ascii="Garamond" w:eastAsia="Garamond" w:hAnsi="Garamond" w:cs="Garamond"/>
          <w:b/>
        </w:rPr>
      </w:pPr>
    </w:p>
    <w:p w14:paraId="052DF847" w14:textId="75206965" w:rsidR="00671DAF" w:rsidRDefault="00671DAF">
      <w:pPr>
        <w:widowControl w:val="0"/>
        <w:rPr>
          <w:rFonts w:ascii="Garamond" w:eastAsia="Garamond" w:hAnsi="Garamond" w:cs="Garamond"/>
          <w:b/>
        </w:rPr>
      </w:pPr>
    </w:p>
    <w:p w14:paraId="7778390E" w14:textId="5A31C78B" w:rsidR="006A7FEB" w:rsidRDefault="006A7FEB">
      <w:pPr>
        <w:widowControl w:val="0"/>
        <w:rPr>
          <w:rFonts w:ascii="Garamond" w:eastAsia="Garamond" w:hAnsi="Garamond" w:cs="Garamond"/>
          <w:b/>
        </w:rPr>
      </w:pPr>
    </w:p>
    <w:p w14:paraId="42C10A45" w14:textId="77777777" w:rsidR="006A7FEB" w:rsidRDefault="006A7FEB">
      <w:pPr>
        <w:widowControl w:val="0"/>
        <w:rPr>
          <w:rFonts w:ascii="Garamond" w:eastAsia="Garamond" w:hAnsi="Garamond" w:cs="Garamond"/>
          <w:b/>
        </w:rPr>
      </w:pPr>
    </w:p>
    <w:p w14:paraId="4F9A7B68" w14:textId="77777777" w:rsidR="00671DAF" w:rsidRDefault="00671DAF">
      <w:pPr>
        <w:widowControl w:val="0"/>
        <w:rPr>
          <w:rFonts w:ascii="Garamond" w:eastAsia="Garamond" w:hAnsi="Garamond" w:cs="Garamond"/>
          <w:b/>
        </w:rPr>
      </w:pPr>
    </w:p>
    <w:p w14:paraId="747D26C9" w14:textId="77777777" w:rsidR="00671DAF" w:rsidRDefault="00671DAF">
      <w:pPr>
        <w:widowControl w:val="0"/>
        <w:rPr>
          <w:rFonts w:ascii="Garamond" w:eastAsia="Garamond" w:hAnsi="Garamond" w:cs="Garamond"/>
          <w:b/>
        </w:rPr>
      </w:pPr>
    </w:p>
    <w:p w14:paraId="0045DD57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1.2. Descripción de la Convocatoria</w:t>
      </w:r>
    </w:p>
    <w:p w14:paraId="134910E0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751912AD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Esta convocatoria tiene como propósito otorgar financiamiento interno con fondos proyecto 52-INES para líneas de I+D de </w:t>
      </w:r>
      <w:r>
        <w:rPr>
          <w:rFonts w:ascii="Garamond" w:eastAsia="Garamond" w:hAnsi="Garamond" w:cs="Garamond"/>
          <w:b/>
        </w:rPr>
        <w:t>investigadoras(es)</w:t>
      </w:r>
      <w:r>
        <w:rPr>
          <w:rFonts w:ascii="Garamond" w:eastAsia="Garamond" w:hAnsi="Garamond" w:cs="Garamond"/>
        </w:rPr>
        <w:t xml:space="preserve"> con foco en </w:t>
      </w:r>
      <w:r>
        <w:rPr>
          <w:rFonts w:ascii="Garamond" w:eastAsia="Garamond" w:hAnsi="Garamond" w:cs="Garamond"/>
          <w:b/>
        </w:rPr>
        <w:t>tecnologías transferibles</w:t>
      </w:r>
      <w:r>
        <w:rPr>
          <w:rFonts w:ascii="Garamond" w:eastAsia="Garamond" w:hAnsi="Garamond" w:cs="Garamond"/>
        </w:rPr>
        <w:t>, para la obtención de resultados de una prueba de concepto y/o prototipo experi</w:t>
      </w:r>
      <w:r>
        <w:rPr>
          <w:rFonts w:ascii="Garamond" w:eastAsia="Garamond" w:hAnsi="Garamond" w:cs="Garamond"/>
        </w:rPr>
        <w:t xml:space="preserve">mental que favorezcan la postulación a fondos externos para su continuidad.  </w:t>
      </w:r>
    </w:p>
    <w:p w14:paraId="5DEE72FC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1FBE0E6E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 continuación, se define según estas bases lo que se entenderá por prueba de concepto y prototipo experimental:</w:t>
      </w:r>
    </w:p>
    <w:p w14:paraId="593C667B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7D345253" w14:textId="77777777" w:rsidR="00671DAF" w:rsidRDefault="004D546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Prueba de Concepto:</w:t>
      </w:r>
      <w:r>
        <w:rPr>
          <w:rFonts w:ascii="Garamond" w:eastAsia="Garamond" w:hAnsi="Garamond" w:cs="Garamond"/>
          <w:color w:val="000000"/>
        </w:rPr>
        <w:t xml:space="preserve"> Sirve para demostrar que una nueva técnica es posible. Permite verificar que el concepto o teoría en cuestión es apto de ser explotada de una manera útil. </w:t>
      </w:r>
    </w:p>
    <w:p w14:paraId="5B472B98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5460405B" w14:textId="77777777" w:rsidR="00671DAF" w:rsidRDefault="004D546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Prototipo Experimental:</w:t>
      </w:r>
      <w:r>
        <w:rPr>
          <w:rFonts w:ascii="Garamond" w:eastAsia="Garamond" w:hAnsi="Garamond" w:cs="Garamond"/>
          <w:color w:val="000000"/>
        </w:rPr>
        <w:t xml:space="preserve"> Es cuando su comportamiento operacional y funcional fue probado bajo condi</w:t>
      </w:r>
      <w:r>
        <w:rPr>
          <w:rFonts w:ascii="Garamond" w:eastAsia="Garamond" w:hAnsi="Garamond" w:cs="Garamond"/>
          <w:color w:val="000000"/>
        </w:rPr>
        <w:t>ciones experimentales o de laboratorio (condiciones controladas).</w:t>
      </w:r>
    </w:p>
    <w:p w14:paraId="0B91D09B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73FC9336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Las(Los) académicas(os) que adjudiquen una iniciativa del </w:t>
      </w:r>
      <w:r>
        <w:rPr>
          <w:rFonts w:ascii="Garamond" w:eastAsia="Garamond" w:hAnsi="Garamond" w:cs="Garamond"/>
          <w:b/>
        </w:rPr>
        <w:t>Concurso Proyectos de Investigación Aplicada e Innovación Transversal</w:t>
      </w:r>
      <w:r>
        <w:rPr>
          <w:rFonts w:ascii="Garamond" w:eastAsia="Garamond" w:hAnsi="Garamond" w:cs="Garamond"/>
        </w:rPr>
        <w:t>, quedarán excluidas, hasta el cierre de su proyecto, de las o</w:t>
      </w:r>
      <w:r>
        <w:rPr>
          <w:rFonts w:ascii="Garamond" w:eastAsia="Garamond" w:hAnsi="Garamond" w:cs="Garamond"/>
        </w:rPr>
        <w:t xml:space="preserve">tras convocatorias internas VIDCA. </w:t>
      </w:r>
    </w:p>
    <w:p w14:paraId="3BA874B4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4892016B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1.3. Montos y tipo de financiamiento</w:t>
      </w:r>
    </w:p>
    <w:p w14:paraId="244D5285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45637A54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El </w:t>
      </w:r>
      <w:r>
        <w:rPr>
          <w:rFonts w:ascii="Garamond" w:eastAsia="Garamond" w:hAnsi="Garamond" w:cs="Garamond"/>
          <w:b/>
        </w:rPr>
        <w:t xml:space="preserve">Concurso Proyectos de Investigación Aplicada e Innovación Transversal </w:t>
      </w:r>
      <w:r>
        <w:rPr>
          <w:rFonts w:ascii="Garamond" w:eastAsia="Garamond" w:hAnsi="Garamond" w:cs="Garamond"/>
        </w:rPr>
        <w:t xml:space="preserve">ofrecerá para el año 2022 un financiamiento de hasta </w:t>
      </w:r>
      <w:r>
        <w:rPr>
          <w:rFonts w:ascii="Garamond" w:eastAsia="Garamond" w:hAnsi="Garamond" w:cs="Garamond"/>
          <w:b/>
        </w:rPr>
        <w:t>5 millones de pesos</w:t>
      </w:r>
      <w:r>
        <w:rPr>
          <w:rFonts w:ascii="Garamond" w:eastAsia="Garamond" w:hAnsi="Garamond" w:cs="Garamond"/>
        </w:rPr>
        <w:t>, para proyectos postulados por acad</w:t>
      </w:r>
      <w:r>
        <w:rPr>
          <w:rFonts w:ascii="Garamond" w:eastAsia="Garamond" w:hAnsi="Garamond" w:cs="Garamond"/>
        </w:rPr>
        <w:t xml:space="preserve">émicas(os) de la planta académica o planta adjunta. La postulación debe ser apoyada tanto por la Dirección de Unidad como de la </w:t>
      </w:r>
      <w:proofErr w:type="spellStart"/>
      <w:r>
        <w:rPr>
          <w:rFonts w:ascii="Garamond" w:eastAsia="Garamond" w:hAnsi="Garamond" w:cs="Garamond"/>
        </w:rPr>
        <w:t>Macrounidad</w:t>
      </w:r>
      <w:proofErr w:type="spellEnd"/>
      <w:r>
        <w:rPr>
          <w:rFonts w:ascii="Garamond" w:eastAsia="Garamond" w:hAnsi="Garamond" w:cs="Garamond"/>
        </w:rPr>
        <w:t xml:space="preserve"> respectiva.</w:t>
      </w:r>
    </w:p>
    <w:p w14:paraId="1458C355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2C4A4D0D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El </w:t>
      </w:r>
      <w:r>
        <w:rPr>
          <w:rFonts w:ascii="Garamond" w:eastAsia="Garamond" w:hAnsi="Garamond" w:cs="Garamond"/>
          <w:b/>
        </w:rPr>
        <w:t xml:space="preserve">concurso </w:t>
      </w:r>
      <w:r>
        <w:rPr>
          <w:rFonts w:ascii="Garamond" w:eastAsia="Garamond" w:hAnsi="Garamond" w:cs="Garamond"/>
        </w:rPr>
        <w:t>financia gastos de operación, como insumos para I+D, honorarios técnicos y servicios de ter</w:t>
      </w:r>
      <w:r>
        <w:rPr>
          <w:rFonts w:ascii="Garamond" w:eastAsia="Garamond" w:hAnsi="Garamond" w:cs="Garamond"/>
        </w:rPr>
        <w:t xml:space="preserve">ceros, para la obtención de resultados de una prueba de concepto y/o prototipo experimental. No se financiarán gastos de equipamiento o adecuación de espacios, remodelaciones, muebles, incentivos a investigadores y computadores.  </w:t>
      </w:r>
    </w:p>
    <w:p w14:paraId="397AB5E7" w14:textId="77777777" w:rsidR="00671DAF" w:rsidRDefault="00671DAF">
      <w:pPr>
        <w:widowControl w:val="0"/>
        <w:tabs>
          <w:tab w:val="left" w:pos="1060"/>
        </w:tabs>
        <w:rPr>
          <w:rFonts w:ascii="Garamond" w:eastAsia="Garamond" w:hAnsi="Garamond" w:cs="Garamond"/>
        </w:rPr>
      </w:pPr>
    </w:p>
    <w:p w14:paraId="33A13204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1.4. Duración y ejecució</w:t>
      </w:r>
      <w:r>
        <w:rPr>
          <w:rFonts w:ascii="Garamond" w:eastAsia="Garamond" w:hAnsi="Garamond" w:cs="Garamond"/>
          <w:b/>
        </w:rPr>
        <w:t>n de los proyectos</w:t>
      </w:r>
    </w:p>
    <w:p w14:paraId="4A0887CA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444E1D09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Los </w:t>
      </w:r>
      <w:r>
        <w:rPr>
          <w:rFonts w:ascii="Garamond" w:eastAsia="Garamond" w:hAnsi="Garamond" w:cs="Garamond"/>
          <w:b/>
        </w:rPr>
        <w:t xml:space="preserve">proyectos </w:t>
      </w:r>
      <w:r>
        <w:rPr>
          <w:rFonts w:ascii="Garamond" w:eastAsia="Garamond" w:hAnsi="Garamond" w:cs="Garamond"/>
        </w:rPr>
        <w:t xml:space="preserve">tendrán una duración máxima de </w:t>
      </w:r>
      <w:r>
        <w:rPr>
          <w:rFonts w:ascii="Garamond" w:eastAsia="Garamond" w:hAnsi="Garamond" w:cs="Garamond"/>
          <w:b/>
        </w:rPr>
        <w:t>8 meses</w:t>
      </w:r>
      <w:r>
        <w:rPr>
          <w:rFonts w:ascii="Garamond" w:eastAsia="Garamond" w:hAnsi="Garamond" w:cs="Garamond"/>
        </w:rPr>
        <w:t xml:space="preserve"> desde la firma del convenio, prorrogables hasta 12 meses en total. La solicitud de extensión deberá presentarse en forma escrita al Departamento de Desarrollo e Innovación (DDI) con l</w:t>
      </w:r>
      <w:r>
        <w:rPr>
          <w:rFonts w:ascii="Garamond" w:eastAsia="Garamond" w:hAnsi="Garamond" w:cs="Garamond"/>
        </w:rPr>
        <w:t xml:space="preserve">os argumentos que lo justifiquen, y será resuelta por el DDI. </w:t>
      </w:r>
    </w:p>
    <w:p w14:paraId="03BCB525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797DFBDE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La ejecución y rendición de recursos se efectuará acorde a la estructura y planificación del presupuesto del proyecto, y a lo establecido por ANID para la rendición financiera de los fondos. </w:t>
      </w:r>
    </w:p>
    <w:p w14:paraId="71347306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042DA54B" w14:textId="77777777" w:rsidR="00671DAF" w:rsidRDefault="004D5463">
      <w:pPr>
        <w:widowControl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Cualquier modificación del contenido del proyecto presentado -i</w:t>
      </w:r>
      <w:r>
        <w:rPr>
          <w:rFonts w:ascii="Garamond" w:eastAsia="Garamond" w:hAnsi="Garamond" w:cs="Garamond"/>
        </w:rPr>
        <w:t xml:space="preserve">ncluyendo indicadores, objetivos o hitos comprometidos en la planificación del proyecto- deberá ser acordada formalmente con la VIDCA. </w:t>
      </w:r>
    </w:p>
    <w:p w14:paraId="662AE850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171F3C80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2460C282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2F12BE0F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7D120E34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38B7C90B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II. ASPECTOS GENERALES</w:t>
      </w:r>
    </w:p>
    <w:p w14:paraId="7DA8710D" w14:textId="77777777" w:rsidR="00671DAF" w:rsidRDefault="00671DAF">
      <w:pPr>
        <w:widowControl w:val="0"/>
        <w:rPr>
          <w:rFonts w:ascii="Garamond" w:eastAsia="Garamond" w:hAnsi="Garamond" w:cs="Garamond"/>
          <w:b/>
        </w:rPr>
      </w:pPr>
    </w:p>
    <w:p w14:paraId="4205F98E" w14:textId="77777777" w:rsidR="00671DAF" w:rsidRDefault="004D5463">
      <w:pPr>
        <w:widowControl w:val="0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2.1. Formato, plazos y lugar de presentación del proyecto</w:t>
      </w:r>
    </w:p>
    <w:p w14:paraId="7A43A3E9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0FF40DFE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Las postulantes deberán presenta</w:t>
      </w:r>
      <w:r>
        <w:rPr>
          <w:rFonts w:ascii="Garamond" w:eastAsia="Garamond" w:hAnsi="Garamond" w:cs="Garamond"/>
        </w:rPr>
        <w:t>r sus proyectos de conformidad con lo establecido en las presentes bases.</w:t>
      </w:r>
    </w:p>
    <w:p w14:paraId="20C995ED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708977F7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El plazo de postulación será entre el 03 de Noviembre y 15 de Diciembre de 2022. No se aceptarán postulaciones presentadas fuera de plazo.</w:t>
      </w:r>
    </w:p>
    <w:p w14:paraId="64CC3AE2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09FBEF8F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La(El) postulante deberá utilizar los for</w:t>
      </w:r>
      <w:r>
        <w:rPr>
          <w:rFonts w:ascii="Garamond" w:eastAsia="Garamond" w:hAnsi="Garamond" w:cs="Garamond"/>
        </w:rPr>
        <w:t>mularios establecidos por la VIDCA y que están disponibles en el siguiente Sistema de Postulación en Línea según Departamento:</w:t>
      </w:r>
    </w:p>
    <w:p w14:paraId="2121F34E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2E7FAD36" w14:textId="77777777" w:rsidR="00671DAF" w:rsidRDefault="004D5463">
      <w:pPr>
        <w:widowControl w:val="0"/>
        <w:shd w:val="clear" w:color="auto" w:fill="FFFFFF"/>
        <w:spacing w:before="240" w:after="240"/>
        <w:rPr>
          <w:rFonts w:ascii="Garamond" w:eastAsia="Garamond" w:hAnsi="Garamond" w:cs="Garamond"/>
          <w:b/>
          <w:color w:val="1155CC"/>
          <w:u w:val="single"/>
        </w:rPr>
      </w:pPr>
      <w:hyperlink r:id="rId9">
        <w:r>
          <w:rPr>
            <w:rFonts w:ascii="Garamond" w:eastAsia="Garamond" w:hAnsi="Garamond" w:cs="Garamond"/>
            <w:b/>
            <w:color w:val="1155CC"/>
            <w:u w:val="single"/>
          </w:rPr>
          <w:t>https://otl.uach.cl/encuestas/formulario-concurso-proyectos-de-investigacion-aplicada-e-innovacion-transversal</w:t>
        </w:r>
      </w:hyperlink>
      <w:r>
        <w:rPr>
          <w:rFonts w:ascii="Garamond" w:eastAsia="Garamond" w:hAnsi="Garamond" w:cs="Garamond"/>
          <w:b/>
          <w:color w:val="1155CC"/>
          <w:u w:val="single"/>
        </w:rPr>
        <w:t xml:space="preserve"> </w:t>
      </w:r>
    </w:p>
    <w:p w14:paraId="7324BB18" w14:textId="77777777" w:rsidR="00671DAF" w:rsidRDefault="00671DAF">
      <w:pPr>
        <w:widowControl w:val="0"/>
        <w:rPr>
          <w:rFonts w:ascii="Garamond" w:eastAsia="Garamond" w:hAnsi="Garamond" w:cs="Garamond"/>
          <w:b/>
          <w:highlight w:val="yellow"/>
        </w:rPr>
      </w:pPr>
    </w:p>
    <w:p w14:paraId="632A76B0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6F181839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2.2. Orientaciones y consultas</w:t>
      </w:r>
    </w:p>
    <w:p w14:paraId="0A663E31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0F6C9E78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La apertura del Concurso con sus respectivas bases será publicada en la página web UACh, enviada por </w:t>
      </w:r>
      <w:r>
        <w:rPr>
          <w:rFonts w:ascii="Garamond" w:eastAsia="Garamond" w:hAnsi="Garamond" w:cs="Garamond"/>
        </w:rPr>
        <w:t>correo masivo universitario y en los diferentes medios de comunicación que gestiona la VIDCA.</w:t>
      </w:r>
    </w:p>
    <w:p w14:paraId="55080BB4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30B5D561" w14:textId="77777777" w:rsidR="00671DAF" w:rsidRDefault="004D5463">
      <w:pPr>
        <w:widowControl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Los proyectos que no cumplan con lo establecido en las presentes bases, sus anexos obligatorios y en el formulario postulación, no pasarán la etapa de admisibili</w:t>
      </w:r>
      <w:r>
        <w:rPr>
          <w:rFonts w:ascii="Garamond" w:eastAsia="Garamond" w:hAnsi="Garamond" w:cs="Garamond"/>
        </w:rPr>
        <w:t xml:space="preserve">dad del llamado. </w:t>
      </w:r>
    </w:p>
    <w:p w14:paraId="4AC7ADAC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695E8B9B" w14:textId="77777777" w:rsidR="00671DAF" w:rsidRDefault="004D5463">
      <w:pPr>
        <w:widowControl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Las consultas se recibirán en el correo oficina.otl@uach.cl</w:t>
      </w:r>
    </w:p>
    <w:p w14:paraId="6B1E9744" w14:textId="77777777" w:rsidR="00671DAF" w:rsidRDefault="00671DA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color w:val="000000"/>
        </w:rPr>
      </w:pPr>
    </w:p>
    <w:p w14:paraId="0F9E035E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2.3. Incompatibilidades.</w:t>
      </w:r>
    </w:p>
    <w:p w14:paraId="3BF3E3C6" w14:textId="77777777" w:rsidR="00671DAF" w:rsidRDefault="00671DA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color w:val="000000"/>
        </w:rPr>
      </w:pPr>
    </w:p>
    <w:p w14:paraId="1675E65E" w14:textId="77777777" w:rsidR="00671DAF" w:rsidRDefault="004D54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No podrán postular como responsable o parte del equipo de trabajo, integrantes del equipo directivo de la VIDCA (Vicerrector/a, </w:t>
      </w:r>
      <w:r>
        <w:rPr>
          <w:rFonts w:ascii="Garamond" w:eastAsia="Garamond" w:hAnsi="Garamond" w:cs="Garamond"/>
          <w:color w:val="000000"/>
        </w:rPr>
        <w:t>Directores/as).</w:t>
      </w:r>
    </w:p>
    <w:p w14:paraId="441369E8" w14:textId="77777777" w:rsidR="00671DAF" w:rsidRDefault="004D54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No podrán participar de los procesos de evaluación y/o adjudicación integrantes del Consejo Asesor de la VIDCA o Comité Asesor de Creación Artística que postulen a este concurso como responsables o parte del equipo de trabajo.</w:t>
      </w:r>
    </w:p>
    <w:p w14:paraId="37D2C73E" w14:textId="77777777" w:rsidR="00671DAF" w:rsidRDefault="004D54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color w:val="000000"/>
        </w:rPr>
        <w:t>No se podrá p</w:t>
      </w:r>
      <w:r>
        <w:rPr>
          <w:rFonts w:ascii="Garamond" w:eastAsia="Garamond" w:hAnsi="Garamond" w:cs="Garamond"/>
          <w:color w:val="000000"/>
        </w:rPr>
        <w:t>resentar más de un proyecto como responsable.</w:t>
      </w:r>
    </w:p>
    <w:p w14:paraId="2C3266D2" w14:textId="77777777" w:rsidR="00671DAF" w:rsidRDefault="004D5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No podrán postular las(los) académicas(os) que tengan otros proyectos vigentes como responsables (o equivalente), de otros proyectos de Desarrollo e Innovación vigentes, con financiamiento interno o externo, a </w:t>
      </w:r>
      <w:r>
        <w:rPr>
          <w:rFonts w:ascii="Garamond" w:eastAsia="Garamond" w:hAnsi="Garamond" w:cs="Garamond"/>
          <w:color w:val="000000"/>
        </w:rPr>
        <w:t xml:space="preserve">la fecha de firma del convenio; o más de dos como </w:t>
      </w:r>
      <w:proofErr w:type="spellStart"/>
      <w:r>
        <w:rPr>
          <w:rFonts w:ascii="Garamond" w:eastAsia="Garamond" w:hAnsi="Garamond" w:cs="Garamond"/>
          <w:color w:val="000000"/>
        </w:rPr>
        <w:t>co</w:t>
      </w:r>
      <w:proofErr w:type="spellEnd"/>
      <w:r>
        <w:rPr>
          <w:rFonts w:ascii="Garamond" w:eastAsia="Garamond" w:hAnsi="Garamond" w:cs="Garamond"/>
          <w:color w:val="000000"/>
        </w:rPr>
        <w:t>-ejecutoras (o equivalente).</w:t>
      </w:r>
    </w:p>
    <w:p w14:paraId="249F6334" w14:textId="77777777" w:rsidR="00671DAF" w:rsidRDefault="004D5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No podrán participar académicas(os) que tengan compromisos pendientes con la VIDCA, tanto académicos como financieros.</w:t>
      </w:r>
    </w:p>
    <w:p w14:paraId="11AD7E5C" w14:textId="77777777" w:rsidR="00671DAF" w:rsidRDefault="004D5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En el caso que la académica(o) responsable </w:t>
      </w:r>
      <w:r>
        <w:rPr>
          <w:rFonts w:ascii="Garamond" w:eastAsia="Garamond" w:hAnsi="Garamond" w:cs="Garamond"/>
          <w:color w:val="000000"/>
        </w:rPr>
        <w:t>adjudique un fondo interno o externo durante el proceso de evaluación y resultados de este concurso, quedará inhabilitada para recibir este incentivo.</w:t>
      </w:r>
    </w:p>
    <w:p w14:paraId="47D5594D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5ECFBC8E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62818EC4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III. ANTECEDENTES OBLIGATORIOS DE POSTULACIÓN</w:t>
      </w:r>
    </w:p>
    <w:p w14:paraId="1F4EE6B9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30F601CD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Los antecedentes obligatorios de postulación serán aquel</w:t>
      </w:r>
      <w:r>
        <w:rPr>
          <w:rFonts w:ascii="Garamond" w:eastAsia="Garamond" w:hAnsi="Garamond" w:cs="Garamond"/>
        </w:rPr>
        <w:t>los documentos indispensables para la postulación de los proyectos y para la evaluación de éstos. La lista de documentos de postulación tiene carácter taxativo. Los documentos que no se encuentren conforme a estas bases se considerarán como no presentados.</w:t>
      </w:r>
    </w:p>
    <w:p w14:paraId="68AFF0F5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40BBDEE4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Todos los documentos deberán ser presentados en idioma español. Los antecedentes obligatorios que sean presentados en otro idioma, y que no se encuentren acompañados por traducción, serán considerados como no presentados, por lo que la postulación será i</w:t>
      </w:r>
      <w:r>
        <w:rPr>
          <w:rFonts w:ascii="Garamond" w:eastAsia="Garamond" w:hAnsi="Garamond" w:cs="Garamond"/>
        </w:rPr>
        <w:t>nadmisible. Basta con una traducción simple.</w:t>
      </w:r>
    </w:p>
    <w:p w14:paraId="02629C49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1C124CA0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3.1. Listado de documentos obligatorios</w:t>
      </w:r>
    </w:p>
    <w:p w14:paraId="05126122" w14:textId="77777777" w:rsidR="00671DAF" w:rsidRDefault="00671DAF">
      <w:pPr>
        <w:widowControl w:val="0"/>
        <w:rPr>
          <w:rFonts w:ascii="Garamond" w:eastAsia="Garamond" w:hAnsi="Garamond" w:cs="Garamond"/>
          <w:b/>
        </w:rPr>
      </w:pPr>
    </w:p>
    <w:p w14:paraId="2D251903" w14:textId="77777777" w:rsidR="00671DAF" w:rsidRDefault="004D54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Formulario de postulación</w:t>
      </w:r>
    </w:p>
    <w:p w14:paraId="033D62C2" w14:textId="77777777" w:rsidR="00671DAF" w:rsidRDefault="004D54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bookmarkStart w:id="1" w:name="_heading=h.30j0zll" w:colFirst="0" w:colLast="0"/>
      <w:bookmarkEnd w:id="1"/>
      <w:r>
        <w:rPr>
          <w:rFonts w:ascii="Garamond" w:eastAsia="Garamond" w:hAnsi="Garamond" w:cs="Garamond"/>
          <w:color w:val="000000"/>
        </w:rPr>
        <w:t xml:space="preserve">Carta de patrocinio Unidad / </w:t>
      </w:r>
      <w:proofErr w:type="spellStart"/>
      <w:r>
        <w:rPr>
          <w:rFonts w:ascii="Garamond" w:eastAsia="Garamond" w:hAnsi="Garamond" w:cs="Garamond"/>
          <w:color w:val="000000"/>
        </w:rPr>
        <w:t>Macrounidad</w:t>
      </w:r>
      <w:proofErr w:type="spellEnd"/>
      <w:r>
        <w:rPr>
          <w:rFonts w:ascii="Garamond" w:eastAsia="Garamond" w:hAnsi="Garamond" w:cs="Garamond"/>
          <w:color w:val="000000"/>
        </w:rPr>
        <w:t xml:space="preserve"> a la que pertenece la postulante.</w:t>
      </w:r>
    </w:p>
    <w:p w14:paraId="650257B5" w14:textId="77777777" w:rsidR="00671DAF" w:rsidRDefault="004D54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Carta de interés y/o aportes de entidad externa.</w:t>
      </w:r>
    </w:p>
    <w:p w14:paraId="25EBB38B" w14:textId="77777777" w:rsidR="00671DAF" w:rsidRDefault="004D54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Carta de </w:t>
      </w:r>
      <w:r>
        <w:rPr>
          <w:rFonts w:ascii="Garamond" w:eastAsia="Garamond" w:hAnsi="Garamond" w:cs="Garamond"/>
          <w:color w:val="000000"/>
        </w:rPr>
        <w:t>consentimiento de comunidades de pueblos originarios (si corresponde).</w:t>
      </w:r>
    </w:p>
    <w:p w14:paraId="5E539E7B" w14:textId="77777777" w:rsidR="00671DAF" w:rsidRDefault="004D54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Documento que acredite el compromiso de la normativa de Ética-Bioética de la UACh (a tramitar una vez adjudicado el proyecto).</w:t>
      </w:r>
    </w:p>
    <w:p w14:paraId="48F3BD5C" w14:textId="77777777" w:rsidR="00671DAF" w:rsidRDefault="004D54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Los proyectos que involucren la intervención de reservas n</w:t>
      </w:r>
      <w:r>
        <w:rPr>
          <w:rFonts w:ascii="Garamond" w:eastAsia="Garamond" w:hAnsi="Garamond" w:cs="Garamond"/>
          <w:color w:val="000000"/>
        </w:rPr>
        <w:t>aturales o animales protegidos, deben contar con la autorización escrita de los servicios públicos respectivos y los permisos éticos (a tramitar una vez adjudicado el proyecto).</w:t>
      </w:r>
    </w:p>
    <w:p w14:paraId="49B442BF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23716870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En el</w:t>
      </w:r>
      <w:r>
        <w:rPr>
          <w:rFonts w:ascii="Garamond" w:eastAsia="Garamond" w:hAnsi="Garamond" w:cs="Garamond"/>
          <w:b/>
        </w:rPr>
        <w:t xml:space="preserve"> formulario de postulación,</w:t>
      </w:r>
      <w:r>
        <w:rPr>
          <w:rFonts w:ascii="Garamond" w:eastAsia="Garamond" w:hAnsi="Garamond" w:cs="Garamond"/>
        </w:rPr>
        <w:t xml:space="preserve"> la(el) académica(o) responsable deberá decla</w:t>
      </w:r>
      <w:r>
        <w:rPr>
          <w:rFonts w:ascii="Garamond" w:eastAsia="Garamond" w:hAnsi="Garamond" w:cs="Garamond"/>
        </w:rPr>
        <w:t>rar su compromiso y dedicación horaria al proyecto, compatibilizando con las otras tareas que realiza en la Universidad. El compromiso como responsable debe ser mínimo de 8 horas semanales. El compromiso horario del equipo de trabajo UACh también debe indi</w:t>
      </w:r>
      <w:r>
        <w:rPr>
          <w:rFonts w:ascii="Garamond" w:eastAsia="Garamond" w:hAnsi="Garamond" w:cs="Garamond"/>
        </w:rPr>
        <w:t>cado.</w:t>
      </w:r>
    </w:p>
    <w:p w14:paraId="50C05C5D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7EA44727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7F4AAE88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IV. EVALUACIÓN Y SELECCIÓN </w:t>
      </w:r>
    </w:p>
    <w:p w14:paraId="6F1691E9" w14:textId="77777777" w:rsidR="00671DAF" w:rsidRDefault="00671DAF">
      <w:pPr>
        <w:widowControl w:val="0"/>
        <w:rPr>
          <w:rFonts w:ascii="Garamond" w:eastAsia="Garamond" w:hAnsi="Garamond" w:cs="Garamond"/>
          <w:color w:val="008000"/>
        </w:rPr>
      </w:pPr>
    </w:p>
    <w:p w14:paraId="4FE8973F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El presente concurso tendrá 3 etapas de evaluación, tras las cuales se anunciarán los proyectos adjudicados vía comunicación interna a las ganadoras y una publicación en el sitio web institucional.</w:t>
      </w:r>
    </w:p>
    <w:p w14:paraId="28FF329D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61458BFF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4.1. Etapas de </w:t>
      </w:r>
      <w:r>
        <w:rPr>
          <w:rFonts w:ascii="Garamond" w:eastAsia="Garamond" w:hAnsi="Garamond" w:cs="Garamond"/>
          <w:b/>
        </w:rPr>
        <w:t>evaluación.</w:t>
      </w:r>
    </w:p>
    <w:p w14:paraId="4418A31B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00362B1D" w14:textId="77777777" w:rsidR="00671DAF" w:rsidRDefault="004D54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La primera etapa</w:t>
      </w:r>
      <w:r>
        <w:rPr>
          <w:rFonts w:ascii="Garamond" w:eastAsia="Garamond" w:hAnsi="Garamond" w:cs="Garamond"/>
          <w:color w:val="000000"/>
        </w:rPr>
        <w:t xml:space="preserve"> de evaluación corresponderá a la Admisibilidad, que certificará que se hayan adjuntado los documentos e información solicitada en el Formulario de Postulación y en los Antecedentes Obligatorios de Postulación, en el formato y plazo estipulado en las prese</w:t>
      </w:r>
      <w:r>
        <w:rPr>
          <w:rFonts w:ascii="Garamond" w:eastAsia="Garamond" w:hAnsi="Garamond" w:cs="Garamond"/>
          <w:color w:val="000000"/>
        </w:rPr>
        <w:t>ntes bases. Las(los) académicas(os) cuyos proyectos sean declarados admisibles pasarán a la segunda etapa.</w:t>
      </w:r>
    </w:p>
    <w:p w14:paraId="3920A504" w14:textId="77777777" w:rsidR="00671DAF" w:rsidRDefault="00671DA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color w:val="000000"/>
        </w:rPr>
      </w:pPr>
    </w:p>
    <w:p w14:paraId="34676E1C" w14:textId="77777777" w:rsidR="00671DAF" w:rsidRDefault="004D54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La segunda etapa</w:t>
      </w:r>
      <w:r>
        <w:rPr>
          <w:rFonts w:ascii="Garamond" w:eastAsia="Garamond" w:hAnsi="Garamond" w:cs="Garamond"/>
          <w:color w:val="000000"/>
        </w:rPr>
        <w:t xml:space="preserve"> corresponde a la evaluación realizada por los comités de la VIDCA y solo en casos excepcionales serán consultados otras/os académic</w:t>
      </w:r>
      <w:r>
        <w:rPr>
          <w:rFonts w:ascii="Garamond" w:eastAsia="Garamond" w:hAnsi="Garamond" w:cs="Garamond"/>
          <w:color w:val="000000"/>
        </w:rPr>
        <w:t>as/os de la Universidad. Dentro de esta etapa se asignará puntaje a cada proyecto según los criterios de evaluación definidos más abajo. Los proyectos serán rankeados y serán financiados acorde al orden de prelación del puntaje.</w:t>
      </w:r>
      <w:r>
        <w:rPr>
          <w:rFonts w:ascii="Garamond" w:eastAsia="Garamond" w:hAnsi="Garamond" w:cs="Garamond"/>
          <w:color w:val="008000"/>
        </w:rPr>
        <w:t xml:space="preserve"> </w:t>
      </w:r>
    </w:p>
    <w:p w14:paraId="7EF8005C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0B32C19C" w14:textId="77777777" w:rsidR="00671DAF" w:rsidRDefault="004D54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lastRenderedPageBreak/>
        <w:t>La tercera etapa</w:t>
      </w:r>
      <w:r>
        <w:rPr>
          <w:rFonts w:ascii="Garamond" w:eastAsia="Garamond" w:hAnsi="Garamond" w:cs="Garamond"/>
          <w:color w:val="000000"/>
        </w:rPr>
        <w:t>, y final</w:t>
      </w:r>
      <w:r>
        <w:rPr>
          <w:rFonts w:ascii="Garamond" w:eastAsia="Garamond" w:hAnsi="Garamond" w:cs="Garamond"/>
          <w:color w:val="000000"/>
        </w:rPr>
        <w:t xml:space="preserve">, corresponderá a la validación y publicación de los resultados de este concurso, la cuál se dará a conocer en el mes de diciembre 2022. Su decisión será inapelable. </w:t>
      </w:r>
    </w:p>
    <w:p w14:paraId="353A3EA3" w14:textId="77777777" w:rsidR="00671DAF" w:rsidRDefault="00671DA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</w:rPr>
      </w:pPr>
    </w:p>
    <w:p w14:paraId="1681B933" w14:textId="77777777" w:rsidR="00671DAF" w:rsidRDefault="00671DA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</w:rPr>
      </w:pPr>
    </w:p>
    <w:p w14:paraId="09AAA608" w14:textId="77777777" w:rsidR="00671DAF" w:rsidRDefault="00671DA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</w:rPr>
      </w:pPr>
    </w:p>
    <w:p w14:paraId="72B045D6" w14:textId="77777777" w:rsidR="00671DAF" w:rsidRDefault="00671DA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</w:rPr>
      </w:pPr>
    </w:p>
    <w:p w14:paraId="6F742723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4.2. Criterios de selección.</w:t>
      </w:r>
    </w:p>
    <w:p w14:paraId="560E686B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tbl>
      <w:tblPr>
        <w:tblStyle w:val="a"/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33"/>
        <w:gridCol w:w="2098"/>
      </w:tblGrid>
      <w:tr w:rsidR="00671DAF" w14:paraId="44360B07" w14:textId="77777777">
        <w:tc>
          <w:tcPr>
            <w:tcW w:w="6833" w:type="dxa"/>
          </w:tcPr>
          <w:p w14:paraId="01C8B0B5" w14:textId="77777777" w:rsidR="00671DAF" w:rsidRDefault="004D5463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CRITERIOS</w:t>
            </w:r>
          </w:p>
        </w:tc>
        <w:tc>
          <w:tcPr>
            <w:tcW w:w="2098" w:type="dxa"/>
          </w:tcPr>
          <w:p w14:paraId="0B2FCF72" w14:textId="77777777" w:rsidR="00671DAF" w:rsidRDefault="004D5463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PONDERACIÓN</w:t>
            </w:r>
          </w:p>
        </w:tc>
      </w:tr>
      <w:tr w:rsidR="00671DAF" w14:paraId="6FCFAB41" w14:textId="77777777">
        <w:tc>
          <w:tcPr>
            <w:tcW w:w="6833" w:type="dxa"/>
          </w:tcPr>
          <w:p w14:paraId="6851E85E" w14:textId="77777777" w:rsidR="00671DAF" w:rsidRDefault="004D5463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Relevancia de la </w:t>
            </w:r>
            <w:r>
              <w:rPr>
                <w:rFonts w:ascii="Garamond" w:eastAsia="Garamond" w:hAnsi="Garamond" w:cs="Garamond"/>
              </w:rPr>
              <w:t>problemática (entregar datos de magnitud de la problemática que se busca abordar).</w:t>
            </w:r>
          </w:p>
        </w:tc>
        <w:tc>
          <w:tcPr>
            <w:tcW w:w="2098" w:type="dxa"/>
          </w:tcPr>
          <w:p w14:paraId="294C5117" w14:textId="77777777" w:rsidR="00671DAF" w:rsidRDefault="004D5463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25%</w:t>
            </w:r>
          </w:p>
        </w:tc>
      </w:tr>
      <w:tr w:rsidR="00671DAF" w14:paraId="64AEA3DC" w14:textId="77777777">
        <w:tc>
          <w:tcPr>
            <w:tcW w:w="6833" w:type="dxa"/>
          </w:tcPr>
          <w:p w14:paraId="0CE9DCE5" w14:textId="77777777" w:rsidR="00671DAF" w:rsidRDefault="004D5463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Claridad y novedad de la propuesta/solución.</w:t>
            </w:r>
          </w:p>
        </w:tc>
        <w:tc>
          <w:tcPr>
            <w:tcW w:w="2098" w:type="dxa"/>
          </w:tcPr>
          <w:p w14:paraId="02CBEF79" w14:textId="77777777" w:rsidR="00671DAF" w:rsidRDefault="004D5463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25%</w:t>
            </w:r>
          </w:p>
        </w:tc>
      </w:tr>
      <w:tr w:rsidR="00671DAF" w14:paraId="02ED99B3" w14:textId="77777777">
        <w:tc>
          <w:tcPr>
            <w:tcW w:w="6833" w:type="dxa"/>
          </w:tcPr>
          <w:p w14:paraId="1AD123E4" w14:textId="77777777" w:rsidR="00671DAF" w:rsidRDefault="004D5463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Relación/participación con usuarios o beneficiarios de la solución (entidad externa potencial adoptante para la masifi</w:t>
            </w:r>
            <w:r>
              <w:rPr>
                <w:rFonts w:ascii="Garamond" w:eastAsia="Garamond" w:hAnsi="Garamond" w:cs="Garamond"/>
              </w:rPr>
              <w:t>cación de la solución).</w:t>
            </w:r>
          </w:p>
        </w:tc>
        <w:tc>
          <w:tcPr>
            <w:tcW w:w="2098" w:type="dxa"/>
          </w:tcPr>
          <w:p w14:paraId="645A9AB2" w14:textId="77777777" w:rsidR="00671DAF" w:rsidRDefault="004D5463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25%</w:t>
            </w:r>
          </w:p>
        </w:tc>
      </w:tr>
      <w:tr w:rsidR="00671DAF" w14:paraId="7E573F05" w14:textId="77777777">
        <w:tc>
          <w:tcPr>
            <w:tcW w:w="6833" w:type="dxa"/>
          </w:tcPr>
          <w:p w14:paraId="702E253E" w14:textId="77777777" w:rsidR="00671DAF" w:rsidRDefault="004D5463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Potencial de impacto de la solución una vez ya desarrollada y validada con un proyecto de financiamiento externo de continuidad (FIC, FONDEF, FIA, otro).</w:t>
            </w:r>
          </w:p>
        </w:tc>
        <w:tc>
          <w:tcPr>
            <w:tcW w:w="2098" w:type="dxa"/>
          </w:tcPr>
          <w:p w14:paraId="3557A4BA" w14:textId="77777777" w:rsidR="00671DAF" w:rsidRDefault="004D5463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25%</w:t>
            </w:r>
          </w:p>
        </w:tc>
      </w:tr>
    </w:tbl>
    <w:p w14:paraId="74199FA5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160E6E76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42B05F89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4.3. Selección y lista de espera</w:t>
      </w:r>
    </w:p>
    <w:p w14:paraId="034DED3B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5F929778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Los resultados finales del concurso se informarán vía comunicación interna a las postulantes seleccionadas y a cada una de sus </w:t>
      </w:r>
      <w:proofErr w:type="spellStart"/>
      <w:r>
        <w:rPr>
          <w:rFonts w:ascii="Garamond" w:eastAsia="Garamond" w:hAnsi="Garamond" w:cs="Garamond"/>
        </w:rPr>
        <w:t>macrounidades</w:t>
      </w:r>
      <w:proofErr w:type="spellEnd"/>
      <w:r>
        <w:rPr>
          <w:rFonts w:ascii="Garamond" w:eastAsia="Garamond" w:hAnsi="Garamond" w:cs="Garamond"/>
        </w:rPr>
        <w:t>. La selección será publicada simultáneamente en la página web institucional.</w:t>
      </w:r>
    </w:p>
    <w:p w14:paraId="15C9C8CA" w14:textId="77777777" w:rsidR="00671DAF" w:rsidRDefault="00671DAF">
      <w:pPr>
        <w:widowControl w:val="0"/>
        <w:jc w:val="both"/>
        <w:rPr>
          <w:rFonts w:ascii="Garamond" w:eastAsia="Garamond" w:hAnsi="Garamond" w:cs="Garamond"/>
        </w:rPr>
      </w:pPr>
    </w:p>
    <w:p w14:paraId="7928B0F7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En el caso que durante el período de </w:t>
      </w:r>
      <w:r>
        <w:rPr>
          <w:rFonts w:ascii="Garamond" w:eastAsia="Garamond" w:hAnsi="Garamond" w:cs="Garamond"/>
        </w:rPr>
        <w:t>evaluación la(el) académica(o) responsable se haya adjudicado un proyecto en Fondos Concursables externos, en el que figure también como ejecutor principal, quedará inhabilitada para llevar a cabo este proyecto. Esto hará valer la adjudicación al siguiente</w:t>
      </w:r>
      <w:r>
        <w:rPr>
          <w:rFonts w:ascii="Garamond" w:eastAsia="Garamond" w:hAnsi="Garamond" w:cs="Garamond"/>
        </w:rPr>
        <w:t xml:space="preserve"> postulante con puntaje más alto en línea de corte. </w:t>
      </w:r>
    </w:p>
    <w:p w14:paraId="2919EDCA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62C4342D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Posterior a la notificación de los resultados se enviará a las académicas seleccionadas y no seleccionadas, los resultados de su evaluación con los comentarios respectivos.</w:t>
      </w:r>
    </w:p>
    <w:p w14:paraId="1C127B5D" w14:textId="77777777" w:rsidR="00671DAF" w:rsidRDefault="00671DAF">
      <w:pPr>
        <w:widowControl w:val="0"/>
        <w:rPr>
          <w:rFonts w:ascii="Garamond" w:eastAsia="Garamond" w:hAnsi="Garamond" w:cs="Garamond"/>
          <w:color w:val="FF0000"/>
        </w:rPr>
      </w:pPr>
    </w:p>
    <w:p w14:paraId="0C137089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Una vez notificadas(os), las</w:t>
      </w:r>
      <w:r>
        <w:rPr>
          <w:rFonts w:ascii="Garamond" w:eastAsia="Garamond" w:hAnsi="Garamond" w:cs="Garamond"/>
        </w:rPr>
        <w:t>(los) académicas(os) responsables que acepten el financiamiento otorgado procederán a firmar el convenio respectivo.</w:t>
      </w:r>
    </w:p>
    <w:p w14:paraId="60D0F1C3" w14:textId="77777777" w:rsidR="00671DAF" w:rsidRDefault="00671DAF">
      <w:pPr>
        <w:widowControl w:val="0"/>
        <w:rPr>
          <w:rFonts w:ascii="Garamond" w:eastAsia="Garamond" w:hAnsi="Garamond" w:cs="Garamond"/>
          <w:color w:val="FF0000"/>
        </w:rPr>
      </w:pPr>
    </w:p>
    <w:p w14:paraId="4AD7B64F" w14:textId="77777777" w:rsidR="00671DAF" w:rsidRDefault="00671DAF">
      <w:pPr>
        <w:widowControl w:val="0"/>
        <w:rPr>
          <w:rFonts w:ascii="Garamond" w:eastAsia="Garamond" w:hAnsi="Garamond" w:cs="Garamond"/>
          <w:color w:val="FF0000"/>
        </w:rPr>
      </w:pPr>
    </w:p>
    <w:p w14:paraId="5079C0D3" w14:textId="77777777" w:rsidR="00671DAF" w:rsidRDefault="00671DAF">
      <w:pPr>
        <w:widowControl w:val="0"/>
        <w:rPr>
          <w:rFonts w:ascii="Garamond" w:eastAsia="Garamond" w:hAnsi="Garamond" w:cs="Garamond"/>
          <w:color w:val="FF0000"/>
        </w:rPr>
      </w:pPr>
    </w:p>
    <w:p w14:paraId="69E74D78" w14:textId="77777777" w:rsidR="00671DAF" w:rsidRDefault="00671DAF">
      <w:pPr>
        <w:widowControl w:val="0"/>
        <w:rPr>
          <w:rFonts w:ascii="Garamond" w:eastAsia="Garamond" w:hAnsi="Garamond" w:cs="Garamond"/>
          <w:color w:val="FF0000"/>
        </w:rPr>
      </w:pPr>
    </w:p>
    <w:p w14:paraId="6993E73B" w14:textId="77777777" w:rsidR="00671DAF" w:rsidRDefault="00671DAF">
      <w:pPr>
        <w:widowControl w:val="0"/>
        <w:rPr>
          <w:rFonts w:ascii="Garamond" w:eastAsia="Garamond" w:hAnsi="Garamond" w:cs="Garamond"/>
          <w:color w:val="FF0000"/>
        </w:rPr>
      </w:pPr>
    </w:p>
    <w:p w14:paraId="6A1ABF30" w14:textId="77777777" w:rsidR="00671DAF" w:rsidRDefault="00671DAF">
      <w:pPr>
        <w:widowControl w:val="0"/>
        <w:rPr>
          <w:rFonts w:ascii="Garamond" w:eastAsia="Garamond" w:hAnsi="Garamond" w:cs="Garamond"/>
          <w:color w:val="FF0000"/>
        </w:rPr>
      </w:pPr>
    </w:p>
    <w:p w14:paraId="1F257ED7" w14:textId="77777777" w:rsidR="00671DAF" w:rsidRDefault="00671DAF">
      <w:pPr>
        <w:widowControl w:val="0"/>
        <w:rPr>
          <w:rFonts w:ascii="Garamond" w:eastAsia="Garamond" w:hAnsi="Garamond" w:cs="Garamond"/>
          <w:color w:val="FF0000"/>
        </w:rPr>
      </w:pPr>
    </w:p>
    <w:p w14:paraId="7C7FAEE1" w14:textId="77777777" w:rsidR="00671DAF" w:rsidRDefault="00671DAF">
      <w:pPr>
        <w:widowControl w:val="0"/>
        <w:rPr>
          <w:rFonts w:ascii="Garamond" w:eastAsia="Garamond" w:hAnsi="Garamond" w:cs="Garamond"/>
          <w:color w:val="FF0000"/>
        </w:rPr>
      </w:pPr>
    </w:p>
    <w:p w14:paraId="4964F775" w14:textId="77777777" w:rsidR="00671DAF" w:rsidRDefault="00671DAF">
      <w:pPr>
        <w:widowControl w:val="0"/>
        <w:rPr>
          <w:rFonts w:ascii="Garamond" w:eastAsia="Garamond" w:hAnsi="Garamond" w:cs="Garamond"/>
          <w:color w:val="FF0000"/>
        </w:rPr>
      </w:pPr>
    </w:p>
    <w:p w14:paraId="417617F3" w14:textId="77777777" w:rsidR="00671DAF" w:rsidRDefault="00671DAF">
      <w:pPr>
        <w:widowControl w:val="0"/>
        <w:rPr>
          <w:rFonts w:ascii="Garamond" w:eastAsia="Garamond" w:hAnsi="Garamond" w:cs="Garamond"/>
          <w:color w:val="FF0000"/>
        </w:rPr>
      </w:pPr>
    </w:p>
    <w:p w14:paraId="6A8193F3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V. CONDICIONES DEL CONVENIO</w:t>
      </w:r>
    </w:p>
    <w:p w14:paraId="0815C6D8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4679FFB8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lastRenderedPageBreak/>
        <w:t>La(El) académica(o) responsable asume la tarea de ejecutar y dirigir el proyecto hasta el cabal cump</w:t>
      </w:r>
      <w:r>
        <w:rPr>
          <w:rFonts w:ascii="Garamond" w:eastAsia="Garamond" w:hAnsi="Garamond" w:cs="Garamond"/>
        </w:rPr>
        <w:t xml:space="preserve">limiento de los objetivos propuestos para cada una de las etapas del proyecto, sin transferir ni abandonar esta responsabilidad. </w:t>
      </w:r>
    </w:p>
    <w:p w14:paraId="515418F9" w14:textId="77777777" w:rsidR="00671DAF" w:rsidRDefault="00671DAF">
      <w:pPr>
        <w:widowControl w:val="0"/>
        <w:jc w:val="both"/>
        <w:rPr>
          <w:rFonts w:ascii="Garamond" w:eastAsia="Garamond" w:hAnsi="Garamond" w:cs="Garamond"/>
          <w:color w:val="FF0000"/>
        </w:rPr>
      </w:pPr>
    </w:p>
    <w:p w14:paraId="224EEE36" w14:textId="77777777" w:rsidR="00671DAF" w:rsidRDefault="004D5463">
      <w:pPr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La(El) académica(o) responsable se compromete a:</w:t>
      </w:r>
    </w:p>
    <w:p w14:paraId="49155AB8" w14:textId="77777777" w:rsidR="00671DAF" w:rsidRDefault="004D54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No cambiar el contenido del proyecto postulado, sin el </w:t>
      </w:r>
      <w:r>
        <w:rPr>
          <w:rFonts w:ascii="Garamond" w:eastAsia="Garamond" w:hAnsi="Garamond" w:cs="Garamond"/>
          <w:color w:val="000000"/>
        </w:rPr>
        <w:t>consentimiento expreso de la VIDCA. Para esto se debe solicitar una readecuación del proyecto, señalando claramente los motivos por los cuáles se realizará el cambio.</w:t>
      </w:r>
    </w:p>
    <w:p w14:paraId="53461B29" w14:textId="77777777" w:rsidR="00671DAF" w:rsidRDefault="004D54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Utilizar los recursos de acuerdo con la distribución presupuestaria asignada en el proyec</w:t>
      </w:r>
      <w:r>
        <w:rPr>
          <w:rFonts w:ascii="Garamond" w:eastAsia="Garamond" w:hAnsi="Garamond" w:cs="Garamond"/>
          <w:color w:val="000000"/>
        </w:rPr>
        <w:t>to. En caso de ser necesario se podrá solicitar una readecuación presupuestaria según formato oficial.</w:t>
      </w:r>
    </w:p>
    <w:p w14:paraId="438CD753" w14:textId="77777777" w:rsidR="00671DAF" w:rsidRDefault="004D54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Presentar a la VIDCA informes –técnico y financiero- de avance y final, según corresponda, en las fechas y formatos determinadas al momento de suscribir </w:t>
      </w:r>
      <w:r>
        <w:rPr>
          <w:rFonts w:ascii="Garamond" w:eastAsia="Garamond" w:hAnsi="Garamond" w:cs="Garamond"/>
          <w:color w:val="000000"/>
        </w:rPr>
        <w:t xml:space="preserve">el convenio. </w:t>
      </w:r>
    </w:p>
    <w:p w14:paraId="0D2D666B" w14:textId="77777777" w:rsidR="00671DAF" w:rsidRDefault="004D54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Suscribir el Convenio asociado a la adjudicación del proyecto con la Universidad.</w:t>
      </w:r>
    </w:p>
    <w:p w14:paraId="21BED37E" w14:textId="77777777" w:rsidR="00671DAF" w:rsidRDefault="004D54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El no cumplimiento de estos compromisos excluirá a la académica responsable de recibir cualquier tipo de financiamiento VIDCA hasta que sea subsanado el incumpl</w:t>
      </w:r>
      <w:r>
        <w:rPr>
          <w:rFonts w:ascii="Garamond" w:eastAsia="Garamond" w:hAnsi="Garamond" w:cs="Garamond"/>
          <w:color w:val="000000"/>
        </w:rPr>
        <w:t>imiento.</w:t>
      </w:r>
    </w:p>
    <w:p w14:paraId="30C43A3A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72FA9869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12B5F014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68C7F386" w14:textId="77777777" w:rsidR="00671DAF" w:rsidRDefault="004D5463">
      <w:pPr>
        <w:widowControl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VI. COMPROMISOS DE LA ACADÉMICA(O)</w:t>
      </w:r>
    </w:p>
    <w:p w14:paraId="59D647BA" w14:textId="77777777" w:rsidR="00671DAF" w:rsidRDefault="00671DAF">
      <w:pPr>
        <w:widowControl w:val="0"/>
        <w:rPr>
          <w:rFonts w:ascii="Garamond" w:eastAsia="Garamond" w:hAnsi="Garamond" w:cs="Garamond"/>
          <w:b/>
        </w:rPr>
      </w:pPr>
    </w:p>
    <w:p w14:paraId="0C8A8191" w14:textId="77777777" w:rsidR="00671DAF" w:rsidRDefault="004D5463">
      <w:pPr>
        <w:widowControl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Al suscribir el Convenio, la(el) académica(o) se compromete a:</w:t>
      </w:r>
    </w:p>
    <w:p w14:paraId="389946BB" w14:textId="77777777" w:rsidR="00671DAF" w:rsidRDefault="00671DAF">
      <w:pPr>
        <w:widowControl w:val="0"/>
        <w:rPr>
          <w:rFonts w:ascii="Garamond" w:eastAsia="Garamond" w:hAnsi="Garamond" w:cs="Garamond"/>
        </w:rPr>
      </w:pPr>
    </w:p>
    <w:p w14:paraId="6B3B5078" w14:textId="77777777" w:rsidR="00671DAF" w:rsidRDefault="004D5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Generar una </w:t>
      </w:r>
      <w:r>
        <w:rPr>
          <w:rFonts w:ascii="Garamond" w:eastAsia="Garamond" w:hAnsi="Garamond" w:cs="Garamond"/>
          <w:b/>
          <w:color w:val="000000"/>
        </w:rPr>
        <w:t>prueba de concepto o prototipo experimental</w:t>
      </w:r>
      <w:r>
        <w:rPr>
          <w:rFonts w:ascii="Garamond" w:eastAsia="Garamond" w:hAnsi="Garamond" w:cs="Garamond"/>
          <w:color w:val="000000"/>
        </w:rPr>
        <w:t>.</w:t>
      </w:r>
    </w:p>
    <w:p w14:paraId="5D8AF1F2" w14:textId="77777777" w:rsidR="00671DAF" w:rsidRDefault="004D5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Realizar actividades de </w:t>
      </w:r>
      <w:r>
        <w:rPr>
          <w:rFonts w:ascii="Garamond" w:eastAsia="Garamond" w:hAnsi="Garamond" w:cs="Garamond"/>
          <w:b/>
          <w:color w:val="000000"/>
        </w:rPr>
        <w:t>validación</w:t>
      </w:r>
      <w:r>
        <w:rPr>
          <w:rFonts w:ascii="Garamond" w:eastAsia="Garamond" w:hAnsi="Garamond" w:cs="Garamond"/>
          <w:color w:val="000000"/>
        </w:rPr>
        <w:t xml:space="preserve"> de la solución propuesta para la problemática detect</w:t>
      </w:r>
      <w:r>
        <w:rPr>
          <w:rFonts w:ascii="Garamond" w:eastAsia="Garamond" w:hAnsi="Garamond" w:cs="Garamond"/>
          <w:color w:val="000000"/>
        </w:rPr>
        <w:t>ada con el usuario externo (público/privado).</w:t>
      </w:r>
    </w:p>
    <w:p w14:paraId="3670AF8D" w14:textId="77777777" w:rsidR="00671DAF" w:rsidRDefault="004D546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Enviar un </w:t>
      </w:r>
      <w:r>
        <w:rPr>
          <w:rFonts w:ascii="Garamond" w:eastAsia="Garamond" w:hAnsi="Garamond" w:cs="Garamond"/>
          <w:b/>
          <w:color w:val="000000"/>
        </w:rPr>
        <w:t>Certificado de postulación a un concurso externo</w:t>
      </w:r>
      <w:r>
        <w:rPr>
          <w:rFonts w:ascii="Garamond" w:eastAsia="Garamond" w:hAnsi="Garamond" w:cs="Garamond"/>
          <w:color w:val="000000"/>
        </w:rPr>
        <w:t xml:space="preserve"> dentro del año de ejecución o en su defecto a la primera oportunidad que se presente (FONDEF, CORFO, FIA, FIC-R, Proyectos Internacionales, Licitaciones de Ministerios, convenios directos con empresas, contratos tecnológicos, aportes del sector privado, e</w:t>
      </w:r>
      <w:r>
        <w:rPr>
          <w:rFonts w:ascii="Garamond" w:eastAsia="Garamond" w:hAnsi="Garamond" w:cs="Garamond"/>
          <w:color w:val="000000"/>
        </w:rPr>
        <w:t>tc.).</w:t>
      </w:r>
    </w:p>
    <w:sectPr w:rsidR="00671DAF">
      <w:footerReference w:type="even" r:id="rId10"/>
      <w:footerReference w:type="default" r:id="rId11"/>
      <w:pgSz w:w="12240" w:h="15840"/>
      <w:pgMar w:top="1134" w:right="1418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3C29" w14:textId="77777777" w:rsidR="004D5463" w:rsidRDefault="004D5463">
      <w:r>
        <w:separator/>
      </w:r>
    </w:p>
  </w:endnote>
  <w:endnote w:type="continuationSeparator" w:id="0">
    <w:p w14:paraId="26E61455" w14:textId="77777777" w:rsidR="004D5463" w:rsidRDefault="004D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18A1" w14:textId="77777777" w:rsidR="00671DAF" w:rsidRDefault="004D54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66F8F0A" w14:textId="77777777" w:rsidR="00671DAF" w:rsidRDefault="00671D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C253" w14:textId="77777777" w:rsidR="00671DAF" w:rsidRDefault="004D54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7FEB">
      <w:rPr>
        <w:noProof/>
        <w:color w:val="000000"/>
      </w:rPr>
      <w:t>1</w:t>
    </w:r>
    <w:r>
      <w:rPr>
        <w:color w:val="000000"/>
      </w:rPr>
      <w:fldChar w:fldCharType="end"/>
    </w:r>
  </w:p>
  <w:p w14:paraId="3381C7BD" w14:textId="77777777" w:rsidR="00671DAF" w:rsidRDefault="00671D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11B2" w14:textId="77777777" w:rsidR="004D5463" w:rsidRDefault="004D5463">
      <w:r>
        <w:separator/>
      </w:r>
    </w:p>
  </w:footnote>
  <w:footnote w:type="continuationSeparator" w:id="0">
    <w:p w14:paraId="3E8287A9" w14:textId="77777777" w:rsidR="004D5463" w:rsidRDefault="004D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542"/>
    <w:multiLevelType w:val="multilevel"/>
    <w:tmpl w:val="702E2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442E42"/>
    <w:multiLevelType w:val="multilevel"/>
    <w:tmpl w:val="AA1C85C4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E52B1"/>
    <w:multiLevelType w:val="multilevel"/>
    <w:tmpl w:val="4D10B5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B08A1"/>
    <w:multiLevelType w:val="multilevel"/>
    <w:tmpl w:val="684CA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B615D5"/>
    <w:multiLevelType w:val="multilevel"/>
    <w:tmpl w:val="A01A7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2B78F0"/>
    <w:multiLevelType w:val="multilevel"/>
    <w:tmpl w:val="B90C7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AF"/>
    <w:rsid w:val="002D415A"/>
    <w:rsid w:val="004D5463"/>
    <w:rsid w:val="00671DAF"/>
    <w:rsid w:val="006A7FEB"/>
    <w:rsid w:val="00DD644B"/>
    <w:rsid w:val="00E5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9383"/>
  <w15:docId w15:val="{9A70FE07-BFDC-4FB9-A991-BB466ECA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59"/>
  </w:style>
  <w:style w:type="paragraph" w:styleId="Ttulo1">
    <w:name w:val="heading 1"/>
    <w:aliases w:val="Subtítulo 2"/>
    <w:basedOn w:val="Normal"/>
    <w:next w:val="Normal"/>
    <w:link w:val="Ttulo1Car"/>
    <w:uiPriority w:val="9"/>
    <w:qFormat/>
    <w:rsid w:val="00421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215868" w:themeColor="accent5" w:themeShade="80"/>
    </w:rPr>
  </w:style>
  <w:style w:type="paragraph" w:styleId="Ttulo2">
    <w:name w:val="heading 2"/>
    <w:aliases w:val="Subtítulo 3"/>
    <w:basedOn w:val="Normal"/>
    <w:next w:val="Normal"/>
    <w:link w:val="Ttulo2Car"/>
    <w:uiPriority w:val="9"/>
    <w:semiHidden/>
    <w:unhideWhenUsed/>
    <w:qFormat/>
    <w:rsid w:val="0042139A"/>
    <w:pPr>
      <w:keepNext/>
      <w:keepLines/>
      <w:spacing w:before="200"/>
      <w:outlineLvl w:val="1"/>
    </w:pPr>
    <w:rPr>
      <w:rFonts w:ascii="Garamond" w:eastAsiaTheme="majorEastAsia" w:hAnsi="Garamond" w:cstheme="majorBidi"/>
      <w:bCs/>
      <w:color w:val="215868" w:themeColor="accent5" w:themeShade="80"/>
      <w:szCs w:val="26"/>
    </w:rPr>
  </w:style>
  <w:style w:type="paragraph" w:styleId="Ttulo3">
    <w:name w:val="heading 3"/>
    <w:aliases w:val="Subtítulo 4"/>
    <w:basedOn w:val="Normal"/>
    <w:next w:val="Normal"/>
    <w:link w:val="Ttulo3Car"/>
    <w:uiPriority w:val="9"/>
    <w:semiHidden/>
    <w:unhideWhenUsed/>
    <w:qFormat/>
    <w:rsid w:val="0042139A"/>
    <w:pPr>
      <w:keepNext/>
      <w:keepLines/>
      <w:spacing w:before="200"/>
      <w:ind w:left="708"/>
      <w:outlineLvl w:val="2"/>
    </w:pPr>
    <w:rPr>
      <w:rFonts w:ascii="Garamond" w:eastAsiaTheme="majorEastAsia" w:hAnsi="Garamond" w:cstheme="majorBidi"/>
      <w:bCs/>
      <w:color w:val="215868" w:themeColor="accent5" w:themeShade="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4213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  <w:lang w:val="es-CL"/>
    </w:rPr>
  </w:style>
  <w:style w:type="character" w:customStyle="1" w:styleId="TtuloCar">
    <w:name w:val="Título Car"/>
    <w:basedOn w:val="Fuentedeprrafopredeter"/>
    <w:link w:val="Ttulo"/>
    <w:uiPriority w:val="10"/>
    <w:rsid w:val="004213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  <w:lang w:val="es-CL" w:eastAsia="es-CL"/>
    </w:rPr>
  </w:style>
  <w:style w:type="character" w:customStyle="1" w:styleId="Ttulo1Car">
    <w:name w:val="Título 1 Car"/>
    <w:aliases w:val="Subtítulo 2 Car"/>
    <w:basedOn w:val="Fuentedeprrafopredeter"/>
    <w:link w:val="Ttulo1"/>
    <w:uiPriority w:val="9"/>
    <w:rsid w:val="0042139A"/>
    <w:rPr>
      <w:rFonts w:asciiTheme="majorHAnsi" w:eastAsiaTheme="majorEastAsia" w:hAnsiTheme="majorHAnsi" w:cstheme="majorBidi"/>
      <w:caps/>
      <w:color w:val="215868" w:themeColor="accent5" w:themeShade="80"/>
    </w:rPr>
  </w:style>
  <w:style w:type="character" w:customStyle="1" w:styleId="Ttulo2Car">
    <w:name w:val="Título 2 Car"/>
    <w:aliases w:val="Subtítulo 3 Car"/>
    <w:basedOn w:val="Fuentedeprrafopredeter"/>
    <w:link w:val="Ttulo2"/>
    <w:uiPriority w:val="9"/>
    <w:rsid w:val="0042139A"/>
    <w:rPr>
      <w:rFonts w:ascii="Garamond" w:eastAsiaTheme="majorEastAsia" w:hAnsi="Garamond" w:cstheme="majorBidi"/>
      <w:bCs/>
      <w:color w:val="215868" w:themeColor="accent5" w:themeShade="80"/>
      <w:szCs w:val="26"/>
    </w:rPr>
  </w:style>
  <w:style w:type="character" w:customStyle="1" w:styleId="Ttulo3Car">
    <w:name w:val="Título 3 Car"/>
    <w:aliases w:val="Subtítulo 4 Car"/>
    <w:basedOn w:val="Fuentedeprrafopredeter"/>
    <w:link w:val="Ttulo3"/>
    <w:uiPriority w:val="9"/>
    <w:rsid w:val="0042139A"/>
    <w:rPr>
      <w:rFonts w:ascii="Garamond" w:eastAsiaTheme="majorEastAsia" w:hAnsi="Garamond" w:cstheme="majorBidi"/>
      <w:bCs/>
      <w:color w:val="215868" w:themeColor="accent5" w:themeShade="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6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6A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E2A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9D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CL"/>
    </w:rPr>
  </w:style>
  <w:style w:type="table" w:styleId="Tablaconcuadrcula">
    <w:name w:val="Table Grid"/>
    <w:basedOn w:val="Tablanormal"/>
    <w:uiPriority w:val="59"/>
    <w:rsid w:val="007D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63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293038"/>
  </w:style>
  <w:style w:type="character" w:customStyle="1" w:styleId="TextonotapieCar">
    <w:name w:val="Texto nota pie Car"/>
    <w:basedOn w:val="Fuentedeprrafopredeter"/>
    <w:link w:val="Textonotapie"/>
    <w:uiPriority w:val="99"/>
    <w:rsid w:val="00293038"/>
  </w:style>
  <w:style w:type="character" w:styleId="Refdenotaalpie">
    <w:name w:val="footnote reference"/>
    <w:basedOn w:val="Fuentedeprrafopredeter"/>
    <w:uiPriority w:val="99"/>
    <w:unhideWhenUsed/>
    <w:rsid w:val="0029303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57DE0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262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28C"/>
  </w:style>
  <w:style w:type="character" w:styleId="Nmerodepgina">
    <w:name w:val="page number"/>
    <w:basedOn w:val="Fuentedeprrafopredeter"/>
    <w:uiPriority w:val="99"/>
    <w:semiHidden/>
    <w:unhideWhenUsed/>
    <w:rsid w:val="0092628C"/>
  </w:style>
  <w:style w:type="character" w:styleId="Refdecomentario">
    <w:name w:val="annotation reference"/>
    <w:basedOn w:val="Fuentedeprrafopredeter"/>
    <w:uiPriority w:val="99"/>
    <w:semiHidden/>
    <w:unhideWhenUsed/>
    <w:rsid w:val="00702FB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702FB4"/>
  </w:style>
  <w:style w:type="character" w:customStyle="1" w:styleId="TextocomentarioCar">
    <w:name w:val="Texto comentario Car"/>
    <w:basedOn w:val="Fuentedeprrafopredeter"/>
    <w:link w:val="Textocomentario"/>
    <w:uiPriority w:val="99"/>
    <w:rsid w:val="00702FB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FB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FB4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B35D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0529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tl.uach.cl/encuestas/formulario-concurso-proyectos-de-investigacion-aplicada-e-innovacion-transvers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wKrp+3UZOfmr0lDq8dMat2dlg==">AMUW2mXkXvg09PevAWGKCvA6ci3Y9E1i9bPDCl0zt+ByBopmdOVQZPI1rJQ3PjKQtfjKkB5xrjgXxsx0KoBHznrSoOaw5s4gpnCQDUE8F/onlMErTJMwA0fgbG8+dKGHvN5KrRENDSC3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1950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Francisco Morey</cp:lastModifiedBy>
  <cp:revision>2</cp:revision>
  <dcterms:created xsi:type="dcterms:W3CDTF">2022-11-04T17:37:00Z</dcterms:created>
  <dcterms:modified xsi:type="dcterms:W3CDTF">2022-11-04T17:37:00Z</dcterms:modified>
</cp:coreProperties>
</file>